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0D2B4E"/>
          <w:sz w:val="44"/>
          <w:szCs w:val="44"/>
        </w:rPr>
        <w:t xml:space="preserve">KRISHNAKAANTH REDDY YEDUGURU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1F4E79"/>
          <w:sz w:val="22"/>
          <w:szCs w:val="22"/>
        </w:rPr>
        <w:t xml:space="preserve">Senior Data &amp; AI Engineer  |  AI Security Researcher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595959"/>
          <w:sz w:val="18"/>
          <w:szCs w:val="18"/>
        </w:rPr>
        <w:t xml:space="preserve">Irving, TX  |  krishnakaanthreddyy1510@gmail.com  |  </w:t>
      </w:r>
      <w:r>
        <w:rPr>
          <w:rFonts w:ascii="Arial" w:cs="Arial" w:eastAsia="Arial" w:hAnsi="Arial"/>
          <w:color w:val="1F4E79"/>
          <w:sz w:val="18"/>
          <w:szCs w:val="18"/>
        </w:rPr>
        <w:t xml:space="preserve">github.com/krishnakaanthreddyy1510-cell/RedSOC</w:t>
      </w:r>
      <w:r>
        <w:rPr>
          <w:rFonts w:ascii="Arial" w:cs="Arial" w:eastAsia="Arial" w:hAnsi="Arial"/>
          <w:color w:val="595959"/>
          <w:sz w:val="18"/>
          <w:szCs w:val="18"/>
        </w:rPr>
        <w:t xml:space="preserve">  |  ORCID: 0009-0009-8554-3648</w:t>
      </w:r>
    </w:p>
    <w:p>
      <w:pPr>
        <w:spacing w:after="100" w:before="0"/>
        <w:jc w:val="center"/>
      </w:pPr>
      <w:r>
        <w:rPr>
          <w:rFonts w:ascii="Arial" w:cs="Arial" w:eastAsia="Arial" w:hAnsi="Arial"/>
          <w:b/>
          <w:bCs/>
          <w:color w:val="C00000"/>
          <w:sz w:val="20"/>
          <w:szCs w:val="20"/>
        </w:rPr>
        <w:t xml:space="preserve">STEM OPT Authorized through 2028 — No Sponsorship Required</w:t>
      </w:r>
    </w:p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80" w:before="6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Senior Data and AI Engineer with 5+ years of production experience building high-performance data pipelines, AI-integrated systems, and cloud-native architectures. Expertise spans Scala/Spark on AWS EMR, Python-based ML pipelines, Snowflake, Azure Databricks, LangChain RAG systems, and AWS Bedrock. Published AI security researcher — creator of RedSOC, an open-source adversarial evaluation framework for LLM-integrated systems with empirically verified 100% detection across 15 benchmark scenarios. IEEE and ACM Professional Member. Delivered $18K/month in EMR compute savings and 25% pipeline runtime reduction in production at scale.</w:t>
      </w:r>
    </w:p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TECHNICAL SKILLS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Languages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Python (5 yrs), Scala (4 yrs), SQL, Java, PySpark, Bash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AI / LLM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LangChain, LlamaIndex, LangGraph, AWS Bedrock, OpenAI API, FAISS, RAG, Prompt Engineering, Embedding Pipelines, Semantic Search, Hallucination Detection, Guardrails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Data Eng.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Apache Spark, Spark Structured Streaming, Kafka, Hive, Hadoop, Delta Lake, Medallion Architecture, ETL/ELT, Schema Evolution, Data Quality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Cloud AWS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EMR, S3, Step Functions, Lambda, ECS/EKS, SageMaker, Kinesis, MSK, Glue, Athena, Redshift, CloudWatch, IAM, KMS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Cloud Azure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Azure Databricks, Azure Data Lake Gen2, Azure Data Factory, Unity Catalog, Synapse, Terraform, GitHub Actions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Databases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Snowflake, PostgreSQL, pg-vector, OpenSearch, FAISS, S3-vector, MySQL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ML / DL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TensorFlow, PyTorch, Keras, Scikit-learn, XGBoost, LightGBM, CNNs, RNNs, LSTMs, Transformers, NLP, Computer Vision, Time-series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DevOps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Docker, Kubernetes, FastAPI, Terraform, CI/CD, GitHub Actions, Datadog, Splunk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Research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F1F1F"/>
                <w:sz w:val="18"/>
                <w:szCs w:val="18"/>
              </w:rPr>
              <w:t xml:space="preserve">RedSOC Framework, Adversarial ML, RAG Security, Prompt Injection, IEEE/ACM Member, Published Preprint DOI: 10.6084/m9.figshare.32016498</w:t>
            </w:r>
          </w:p>
        </w:tc>
      </w:tr>
    </w:tbl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EXPERIENCE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color w:val="1F1F1F"/>
                <w:sz w:val="22"/>
                <w:szCs w:val="22"/>
              </w:rPr>
              <w:t xml:space="preserve">McKesson Corporation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  |  Senior Data Engineer</w:t>
            </w:r>
          </w:p>
        </w:tc>
        <w:tc>
          <w:tcPr>
            <w:tcW w:type="dxa" w:w="3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  <w:jc w:val="right"/>
            </w:pPr>
            <w:r>
              <w:rPr>
                <w:rFonts w:ascii="Arial" w:cs="Arial" w:eastAsia="Arial" w:hAnsi="Arial"/>
                <w:i/>
                <w:iCs/>
                <w:color w:val="595959"/>
                <w:sz w:val="18"/>
                <w:szCs w:val="18"/>
              </w:rPr>
              <w:t xml:space="preserve">Irving, TX (Remote)  |  2023 – Present</w:t>
            </w:r>
          </w:p>
        </w:tc>
      </w:tr>
    </w:tbl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Own end-to-end design and delivery of Spark/Scala ETL pipelines on AWS EMR processing 3TB+ daily pharmacy transaction data across regional ingestion pipelines.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Rebuilt the pharmacy inventory pipeline from a monolithic 8-hour batch job to a Spark Structured Streaming micro-batch architecture, reducing runtime from 8 hours to 45 minutes and error rate from 15% to under 0.5%.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Delivered $18,000/month in sustained EMR compute savings through spot instance fleet optimization, right-sizing, and Parquet-based storage across production pipelines.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Implemented Delta Lake on S3 for ACID transactions, time travel, and concurrent multi-region writes across pharmacy inventory tables.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Designed 12-step Step Functions state machine orchestrating pharmacy data workflows with retry logic, dead-letter routing, and SNS alerting.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Reduced Snowflake credit consumption 30% through clustering key optimization and query restructuring on 10TB fact tables.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Built two-layer pipeline monitoring — CloudWatch for infrastructure health plus semantic output distribution monitoring to catch data quality degradation before downstream impact.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Mentored two junior engineers; authored team Scala/Spark best practices playbook; reduced shared pipeline error rate 80% through structured code review practice.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Built LangChain-based internal RAG tool for querying pharmacy compliance documentation — identified adversarial vulnerabilities that became the basis for RedSOC research.</w:t>
      </w:r>
    </w:p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color w:val="1F1F1F"/>
                <w:sz w:val="22"/>
                <w:szCs w:val="22"/>
              </w:rPr>
              <w:t xml:space="preserve">Capgemini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  |  Data Engineer</w:t>
            </w:r>
          </w:p>
        </w:tc>
        <w:tc>
          <w:tcPr>
            <w:tcW w:type="dxa" w:w="3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  <w:jc w:val="right"/>
            </w:pPr>
            <w:r>
              <w:rPr>
                <w:rFonts w:ascii="Arial" w:cs="Arial" w:eastAsia="Arial" w:hAnsi="Arial"/>
                <w:i/>
                <w:iCs/>
                <w:color w:val="595959"/>
                <w:sz w:val="18"/>
                <w:szCs w:val="18"/>
              </w:rPr>
              <w:t xml:space="preserve">Hyderabad, India (Remote)  |  2021 – 2023</w:t>
            </w:r>
          </w:p>
        </w:tc>
      </w:tr>
    </w:tbl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Built and maintained Scala/Spark financial data pipelines for Fortune 500 clients processing high-cardinality transaction datasets on AWS EMR.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Reduced EMR fleet compute costs 20% through spot instance optimization, multi-instance type configuration, and YARN autoscaling tuning.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Reduced pipeline failures 80% on high-cardinality financial data through salting and Adaptive Query Execution to eliminate data skew.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Implemented schema migration checklist after a 4-hour production outage caused by an unvalidated schema change — zero schema incidents since.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Built streaming data pipelines using Spark Structured Streaming and Kafka for near-real-time financial transaction processing.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Developed PySpark ETL workflows with partitioning strategies, compression optimization, and serialization in Parquet and ORC formats.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Integrated Hive metastore with Spark SQL for unified catalog access across batch and streaming workloads.</w:t>
      </w:r>
    </w:p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color w:val="1F1F1F"/>
                <w:sz w:val="22"/>
                <w:szCs w:val="22"/>
              </w:rPr>
              <w:t xml:space="preserve">Independent AI Security Research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  |  Researcher &amp; Author</w:t>
            </w:r>
          </w:p>
        </w:tc>
        <w:tc>
          <w:tcPr>
            <w:tcW w:type="dxa" w:w="3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  <w:jc w:val="right"/>
            </w:pPr>
            <w:r>
              <w:rPr>
                <w:rFonts w:ascii="Arial" w:cs="Arial" w:eastAsia="Arial" w:hAnsi="Arial"/>
                <w:i/>
                <w:iCs/>
                <w:color w:val="595959"/>
                <w:sz w:val="18"/>
                <w:szCs w:val="18"/>
              </w:rPr>
              <w:t xml:space="preserve">Irving, TX  |  2025 – Present</w:t>
            </w:r>
          </w:p>
        </w:tc>
      </w:tr>
    </w:tbl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Created RedSOC — open-source adversarial evaluation framework for LLM-integrated Security Operations Centers — built on LangChain, FAISS, Ollama Llama 3.2, and sentence-transformers.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Ran 15-scenario benchmark independently: corpus poisoning 80% ASR, direct injection 60% ASR, indirect injection 100% ASR; three-mechanism detection layer achieved 100% detection with zero misses and no model internals required.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Published preprint with permanent DOI (10.6084/m9.figshare.32016498); paper under submission to IEEE Access; code publicly available on GitHub.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IEEE Professional Member and ACM Professional Member since April 2026. ORCID: 0009-0009-8554-3648.</w:t>
      </w:r>
    </w:p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color w:val="1F1F1F"/>
                <w:sz w:val="22"/>
                <w:szCs w:val="22"/>
              </w:rPr>
              <w:t xml:space="preserve">University of Texas at Arlington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  |  M.S. Computer Science</w:t>
            </w:r>
          </w:p>
        </w:tc>
        <w:tc>
          <w:tcPr>
            <w:tcW w:type="dxa" w:w="3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  <w:jc w:val="right"/>
            </w:pPr>
            <w:r>
              <w:rPr>
                <w:rFonts w:ascii="Arial" w:cs="Arial" w:eastAsia="Arial" w:hAnsi="Arial"/>
                <w:i/>
                <w:iCs/>
                <w:color w:val="595959"/>
                <w:sz w:val="18"/>
                <w:szCs w:val="18"/>
              </w:rPr>
              <w:t xml:space="preserve">Arlington, TX  |  May 2025</w:t>
            </w:r>
          </w:p>
        </w:tc>
      </w:tr>
    </w:tbl>
    <w:p>
      <w:pPr>
        <w:spacing w:after="0" w:before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color w:val="1F1F1F"/>
                <w:sz w:val="22"/>
                <w:szCs w:val="22"/>
              </w:rPr>
              <w:t xml:space="preserve">Gitam University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  |  B.S. Computer Science</w:t>
            </w:r>
          </w:p>
        </w:tc>
        <w:tc>
          <w:tcPr>
            <w:tcW w:type="dxa" w:w="3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 w:before="120"/>
              <w:jc w:val="right"/>
            </w:pPr>
            <w:r>
              <w:rPr>
                <w:rFonts w:ascii="Arial" w:cs="Arial" w:eastAsia="Arial" w:hAnsi="Arial"/>
                <w:i/>
                <w:iCs/>
                <w:color w:val="595959"/>
                <w:sz w:val="18"/>
                <w:szCs w:val="18"/>
              </w:rPr>
              <w:t xml:space="preserve">India  |  2023</w:t>
            </w:r>
          </w:p>
        </w:tc>
      </w:tr>
    </w:tbl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CERTIFICATIONS &amp; PROFESSIONAL MEMBERSHIPS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Google Cloud Professional ML Engineer</w:t>
            </w:r>
          </w:p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Databricks Certified Data Engineer</w:t>
            </w:r>
          </w:p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AWS Certified Solutions Architect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IEEE Professional Member (April 2026)</w:t>
            </w:r>
          </w:p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ACM Professional Member (April 2026)</w:t>
            </w:r>
          </w:p>
          <w:p>
            <w:r>
              <w:rPr>
                <w:rFonts w:ascii="Arial" w:cs="Arial" w:eastAsia="Arial" w:hAnsi="Arial"/>
                <w:color w:val="1F1F1F"/>
                <w:sz w:val="20"/>
                <w:szCs w:val="20"/>
              </w:rPr>
              <w:t xml:space="preserve">ORCID: 0009-0009-8554-3648</w:t>
            </w:r>
          </w:p>
        </w:tc>
      </w:tr>
    </w:tbl>
    <w:p>
      <w:pPr>
        <w:pBdr>
          <w:bottom w:val="single" w:color="2E75B6" w:sz="8" w:space="2"/>
        </w:pBdr>
        <w:spacing w:after="40" w:before="4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$18,000/month sustained EMR compute savings through production pipeline optimization at McKesson.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25% reduction in Spark job runtimes on 3TB daily pharmacy workloads — 8 hours to 45 minutes.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100% detection rate across 15 adversarial benchmark scenarios in RedSOC — no model internals required.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80% reduction in pipeline failures through data skew resolution using salting and AQE at Capgemini.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30% Snowflake credit reduction through clustering key optimization and query restructuring.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Zero schema migration incidents since implementing structured schema change checklist across team.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F1F1F"/>
          <w:sz w:val="20"/>
          <w:szCs w:val="20"/>
        </w:rPr>
        <w:t xml:space="preserve">Published AI security research with permanent DOI — first open-source adversarial evaluation framework for LLM-integrated SOC environments.</w:t>
      </w:r>
    </w:p>
    <w:p>
      <w:pPr>
        <w:spacing w:after="0" w:before="100"/>
      </w:pPr>
      <w:r>
        <w:t xml:space="preserve"/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2026-04-24T03:11:21.063Z</dcterms:created>
  <dcterms:modified xsi:type="dcterms:W3CDTF">2026-04-24T03:11:21.064Z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